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Załącznik nr 1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do Regulaminu Konkursu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6">
      <w:pPr>
        <w:ind w:left="566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(miejscowość, data)</w:t>
      </w:r>
    </w:p>
    <w:p w:rsidR="00000000" w:rsidDel="00000000" w:rsidP="00000000" w:rsidRDefault="00000000" w:rsidRPr="00000000" w14:paraId="00000007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firstLine="270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uczestnika o spełnianiu warunków udziału w konkursie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Działając w imieniu ................................................................................. („Uczestnik Konkursu”) i będąc należycie umocowanym do jego reprezentowania oświadczam, że Uczestnik Konkursu na “</w:t>
      </w:r>
      <w:r w:rsidDel="00000000" w:rsidR="00000000" w:rsidRPr="00000000">
        <w:rPr>
          <w:b w:val="1"/>
          <w:rtl w:val="0"/>
        </w:rPr>
        <w:t xml:space="preserve">Przebudowę strony internetowej 17funduszy.pl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highlight w:val="white"/>
          <w:rtl w:val="0"/>
        </w:rPr>
        <w:t xml:space="preserve">, nie podlega wykluczeniu z przyczyn </w:t>
      </w:r>
      <w:r w:rsidDel="00000000" w:rsidR="00000000" w:rsidRPr="00000000">
        <w:rPr>
          <w:rtl w:val="0"/>
        </w:rPr>
        <w:t xml:space="preserve">wymienionych w § 5 ust. 2 Regulaminu Konkursu*.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ind w:firstLine="5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4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W imieniu Uczestnika Konkursu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*) W Konkursie nie mogą uczestniczyć: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osoby biorące udział w organizowaniu Konkursu, w tym członkowie Sądu Konkursowego;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pracownicy Wojewódzkiego Funduszu Ochrony Środowiska i Gospodarki Wodnej w Krakowie, jak również członkowie ich rodzin (wstępni, zstępni, rodzeństwo, małżonkowie i osoby pozostające w stosunku przysposobienia).</w:t>
      </w:r>
    </w:p>
    <w:p w:rsidR="00000000" w:rsidDel="00000000" w:rsidP="00000000" w:rsidRDefault="00000000" w:rsidRPr="00000000" w14:paraId="0000002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